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CC103" w14:textId="61E99504" w:rsidR="00BE73E2" w:rsidRDefault="00804D18" w:rsidP="00A03E7A">
      <w:pPr>
        <w:pStyle w:val="Encabezado1"/>
      </w:pPr>
      <w:bookmarkStart w:id="0" w:name="_Toc288670793"/>
      <w:bookmarkStart w:id="1" w:name="_Toc290376536"/>
      <w:bookmarkStart w:id="2" w:name="_Toc181883638"/>
      <w:r w:rsidRPr="00804D18">
        <w:t>INDRA GROUP, RECONOCID</w:t>
      </w:r>
      <w:r w:rsidR="00BF2365">
        <w:t>A</w:t>
      </w:r>
      <w:r w:rsidRPr="00804D18">
        <w:t xml:space="preserve"> DE NUEVO POR THE SUSTAINABILITY YEARBOOK DE S&amp;P COMO UNA DE LAS COMPAÑÍAS LÍDERES MUNDIALES EN SOSTENIBILIDAD </w:t>
      </w:r>
      <w:bookmarkEnd w:id="0"/>
      <w:bookmarkEnd w:id="1"/>
      <w:bookmarkEnd w:id="2"/>
    </w:p>
    <w:p w14:paraId="4852A725" w14:textId="77777777" w:rsidR="00804D18" w:rsidRDefault="00804D18" w:rsidP="00A03E7A">
      <w:pPr>
        <w:pStyle w:val="Encabezado1"/>
      </w:pPr>
    </w:p>
    <w:p w14:paraId="590EE9BE" w14:textId="77777777" w:rsidR="00804D18" w:rsidRDefault="00804D18" w:rsidP="00804D18">
      <w:pPr>
        <w:pStyle w:val="Subtitle"/>
        <w:numPr>
          <w:ilvl w:val="0"/>
          <w:numId w:val="17"/>
        </w:numPr>
      </w:pPr>
      <w:r>
        <w:t>Por quinto año consecutivo, e</w:t>
      </w:r>
      <w:r w:rsidRPr="00D019DE">
        <w:t>l informe de sostenibilidad más prestigioso</w:t>
      </w:r>
      <w:r>
        <w:t xml:space="preserve"> del mundo s</w:t>
      </w:r>
      <w:r w:rsidRPr="008A6FEC">
        <w:t>itúa en el podio del sector de Servicios de TI</w:t>
      </w:r>
      <w:r>
        <w:t xml:space="preserve"> a la compañía, que es la única empresa del Ibex 35 destacada entre las líderes de su sector en esta edición</w:t>
      </w:r>
    </w:p>
    <w:p w14:paraId="2C29F804" w14:textId="77777777" w:rsidR="00804D18" w:rsidRDefault="00804D18" w:rsidP="00804D18">
      <w:pPr>
        <w:pStyle w:val="Subtitle"/>
        <w:ind w:left="720"/>
      </w:pPr>
    </w:p>
    <w:p w14:paraId="1A36262D" w14:textId="369CE753" w:rsidR="00804D18" w:rsidRDefault="00804D18" w:rsidP="00804D18">
      <w:pPr>
        <w:pStyle w:val="Subtitle"/>
        <w:numPr>
          <w:ilvl w:val="0"/>
          <w:numId w:val="17"/>
        </w:numPr>
      </w:pPr>
      <w:r>
        <w:t>Este reconocimiento es fruto del</w:t>
      </w:r>
      <w:r w:rsidRPr="007F1DFC">
        <w:t xml:space="preserve"> compromiso continuo de Indra </w:t>
      </w:r>
      <w:r>
        <w:t xml:space="preserve">Group </w:t>
      </w:r>
      <w:r w:rsidRPr="007F1DFC">
        <w:t>con la sostenibilidad</w:t>
      </w:r>
      <w:r>
        <w:t xml:space="preserve"> y posiciona a la compañía como una de las empresas mejor preparadas para hacer frente a los retos</w:t>
      </w:r>
      <w:r w:rsidRPr="007F1DFC">
        <w:t xml:space="preserve"> económico</w:t>
      </w:r>
      <w:r>
        <w:t>s</w:t>
      </w:r>
      <w:r w:rsidRPr="007F1DFC">
        <w:t>, social</w:t>
      </w:r>
      <w:r>
        <w:t>es</w:t>
      </w:r>
      <w:r w:rsidRPr="007F1DFC">
        <w:t xml:space="preserve"> y </w:t>
      </w:r>
      <w:r>
        <w:t>medio</w:t>
      </w:r>
      <w:r w:rsidRPr="007F1DFC">
        <w:t>ambiental</w:t>
      </w:r>
      <w:r>
        <w:t>es de futuro</w:t>
      </w:r>
    </w:p>
    <w:p w14:paraId="427C6266" w14:textId="77777777" w:rsidR="00804D18" w:rsidRPr="00804D18" w:rsidRDefault="00804D18" w:rsidP="007078FC">
      <w:pPr>
        <w:pStyle w:val="Subtitle"/>
        <w:ind w:left="720"/>
        <w:jc w:val="right"/>
      </w:pPr>
    </w:p>
    <w:p w14:paraId="2A635B53" w14:textId="77777777" w:rsidR="00804D18" w:rsidRPr="00F16ABC" w:rsidRDefault="00804D18" w:rsidP="00804D18">
      <w:pPr>
        <w:pStyle w:val="Subtitle"/>
        <w:numPr>
          <w:ilvl w:val="0"/>
          <w:numId w:val="17"/>
        </w:numPr>
      </w:pPr>
      <w:r>
        <w:t xml:space="preserve">Gracias a su política y desempeño ESG, Indra Group también forma parte de los índices más prestigiosos de sostenibilidad como </w:t>
      </w:r>
      <w:r w:rsidRPr="00F16ABC">
        <w:t xml:space="preserve">Dow Jones </w:t>
      </w:r>
      <w:proofErr w:type="spellStart"/>
      <w:r w:rsidRPr="00F16ABC">
        <w:t>Sustainability</w:t>
      </w:r>
      <w:proofErr w:type="spellEnd"/>
      <w:r w:rsidRPr="00F16ABC">
        <w:t xml:space="preserve"> </w:t>
      </w:r>
      <w:proofErr w:type="spellStart"/>
      <w:r w:rsidRPr="00F16ABC">
        <w:t>Index</w:t>
      </w:r>
      <w:proofErr w:type="spellEnd"/>
      <w:r>
        <w:t xml:space="preserve">, FTSE4Good, </w:t>
      </w:r>
      <w:proofErr w:type="spellStart"/>
      <w:r w:rsidRPr="0064427A">
        <w:t>Carbon</w:t>
      </w:r>
      <w:proofErr w:type="spellEnd"/>
      <w:r w:rsidRPr="0064427A">
        <w:t xml:space="preserve"> </w:t>
      </w:r>
      <w:proofErr w:type="spellStart"/>
      <w:r w:rsidRPr="0064427A">
        <w:t>Disclosure</w:t>
      </w:r>
      <w:proofErr w:type="spellEnd"/>
      <w:r w:rsidRPr="0064427A">
        <w:t xml:space="preserve"> Project </w:t>
      </w:r>
      <w:r>
        <w:t xml:space="preserve">o </w:t>
      </w:r>
      <w:proofErr w:type="spellStart"/>
      <w:r w:rsidRPr="006A4F95">
        <w:t>World's</w:t>
      </w:r>
      <w:proofErr w:type="spellEnd"/>
      <w:r w:rsidRPr="006A4F95">
        <w:t xml:space="preserve"> </w:t>
      </w:r>
      <w:proofErr w:type="spellStart"/>
      <w:r w:rsidRPr="006A4F95">
        <w:t>Best</w:t>
      </w:r>
      <w:proofErr w:type="spellEnd"/>
      <w:r w:rsidRPr="006A4F95">
        <w:t xml:space="preserve"> </w:t>
      </w:r>
      <w:proofErr w:type="spellStart"/>
      <w:r w:rsidRPr="006A4F95">
        <w:t>Companies</w:t>
      </w:r>
      <w:proofErr w:type="spellEnd"/>
      <w:r w:rsidRPr="006A4F95">
        <w:t xml:space="preserve"> in </w:t>
      </w:r>
      <w:proofErr w:type="spellStart"/>
      <w:r w:rsidRPr="006A4F95">
        <w:t>Sustainable</w:t>
      </w:r>
      <w:proofErr w:type="spellEnd"/>
      <w:r w:rsidRPr="006A4F95">
        <w:t xml:space="preserve"> </w:t>
      </w:r>
      <w:proofErr w:type="spellStart"/>
      <w:r w:rsidRPr="006A4F95">
        <w:t>Growth</w:t>
      </w:r>
      <w:proofErr w:type="spellEnd"/>
      <w:r w:rsidRPr="006A4F95">
        <w:t xml:space="preserve"> 2025</w:t>
      </w:r>
    </w:p>
    <w:p w14:paraId="04C5DE43" w14:textId="77777777" w:rsidR="00804D18" w:rsidRPr="00A03E7A" w:rsidRDefault="00804D18" w:rsidP="00A03E7A">
      <w:pPr>
        <w:pStyle w:val="Encabezado1"/>
      </w:pPr>
    </w:p>
    <w:p w14:paraId="0F76B7B7" w14:textId="1CC8122C" w:rsidR="00804D18" w:rsidRDefault="00F9049A" w:rsidP="00804D18">
      <w:pPr>
        <w:rPr>
          <w:noProof/>
        </w:rPr>
      </w:pPr>
      <w:bookmarkStart w:id="3" w:name="_Hlk181687409"/>
      <w:r>
        <w:rPr>
          <w:b/>
          <w:bCs/>
          <w:noProof/>
        </w:rPr>
        <w:t>Ciudad de México</w:t>
      </w:r>
      <w:r w:rsidR="00A03E7A" w:rsidRPr="00BE73E2">
        <w:rPr>
          <w:b/>
          <w:bCs/>
          <w:noProof/>
        </w:rPr>
        <w:t xml:space="preserve">, </w:t>
      </w:r>
      <w:r w:rsidR="00804D18">
        <w:rPr>
          <w:b/>
          <w:bCs/>
          <w:noProof/>
        </w:rPr>
        <w:t>1</w:t>
      </w:r>
      <w:r>
        <w:rPr>
          <w:b/>
          <w:bCs/>
          <w:noProof/>
        </w:rPr>
        <w:t>8</w:t>
      </w:r>
      <w:r w:rsidR="00A03E7A" w:rsidRPr="00F20500">
        <w:rPr>
          <w:b/>
          <w:bCs/>
          <w:noProof/>
        </w:rPr>
        <w:t xml:space="preserve"> de </w:t>
      </w:r>
      <w:r w:rsidR="00804D18">
        <w:rPr>
          <w:b/>
          <w:bCs/>
          <w:noProof/>
        </w:rPr>
        <w:t xml:space="preserve">febrero de </w:t>
      </w:r>
      <w:r w:rsidR="00A03E7A" w:rsidRPr="00F20500">
        <w:rPr>
          <w:b/>
          <w:bCs/>
          <w:noProof/>
        </w:rPr>
        <w:t>202</w:t>
      </w:r>
      <w:r w:rsidR="00804D18">
        <w:rPr>
          <w:b/>
          <w:bCs/>
          <w:noProof/>
        </w:rPr>
        <w:t>5</w:t>
      </w:r>
      <w:r w:rsidR="00A03E7A" w:rsidRPr="00F20500">
        <w:rPr>
          <w:b/>
          <w:bCs/>
          <w:noProof/>
        </w:rPr>
        <w:t>.</w:t>
      </w:r>
      <w:r w:rsidR="00A03E7A" w:rsidRPr="00BE73E2">
        <w:rPr>
          <w:b/>
          <w:bCs/>
          <w:noProof/>
        </w:rPr>
        <w:t xml:space="preserve"> –</w:t>
      </w:r>
      <w:r w:rsidR="00A03E7A">
        <w:rPr>
          <w:noProof/>
        </w:rPr>
        <w:t xml:space="preserve"> Indra</w:t>
      </w:r>
      <w:r w:rsidR="00A03E7A" w:rsidRPr="00B85116">
        <w:rPr>
          <w:noProof/>
        </w:rPr>
        <w:t xml:space="preserve"> </w:t>
      </w:r>
      <w:r w:rsidR="007318F5">
        <w:rPr>
          <w:noProof/>
        </w:rPr>
        <w:t>Group</w:t>
      </w:r>
      <w:r w:rsidR="00596DBB">
        <w:rPr>
          <w:noProof/>
        </w:rPr>
        <w:t xml:space="preserve">, </w:t>
      </w:r>
      <w:r w:rsidR="00804D18">
        <w:rPr>
          <w:noProof/>
        </w:rPr>
        <w:t>ha sido reconocid</w:t>
      </w:r>
      <w:r w:rsidR="00BF2365">
        <w:rPr>
          <w:noProof/>
        </w:rPr>
        <w:t>a</w:t>
      </w:r>
      <w:r w:rsidR="00804D18">
        <w:rPr>
          <w:noProof/>
        </w:rPr>
        <w:t xml:space="preserve"> una vez más como una de las compañías líderes mundiales en sostenibilidad, según el prestigioso informe anual de sostenibilidad de S&amp;P Global, The Sustainability Yearbook 2025. </w:t>
      </w:r>
    </w:p>
    <w:p w14:paraId="3FC95983" w14:textId="77777777" w:rsidR="00804D18" w:rsidRDefault="00804D18" w:rsidP="00804D18">
      <w:pPr>
        <w:rPr>
          <w:noProof/>
        </w:rPr>
      </w:pPr>
      <w:r>
        <w:rPr>
          <w:noProof/>
        </w:rPr>
        <w:t>La compañía destaca como la única empresa del sector de Servicios de TI que ha permanecido cinco años consecutivos en posiciones de liderazgo en este anuario, referente global de sostenibilidad, al que cada vez aspiran más empresas a nivel mundial y que se renueva anualmente con requisitos cada vez más complejos y exigentes.</w:t>
      </w:r>
    </w:p>
    <w:p w14:paraId="6B177C35" w14:textId="77777777" w:rsidR="00804D18" w:rsidRDefault="00804D18" w:rsidP="00804D18">
      <w:pPr>
        <w:rPr>
          <w:noProof/>
        </w:rPr>
      </w:pPr>
      <w:r>
        <w:rPr>
          <w:noProof/>
        </w:rPr>
        <w:t xml:space="preserve">Basado en la valoración de 7.690 empresas de todo el mundo, de las que sólo 780 empresas han logrado entrar en el exclusivo anuario, Indra Group se sitúa en el podio de su sector y es la única empresa del Ibex 35 destacada entre las líderes de su sector en esta edición. </w:t>
      </w:r>
    </w:p>
    <w:p w14:paraId="7C5FAFFA" w14:textId="77777777" w:rsidR="00804D18" w:rsidRDefault="00804D18" w:rsidP="00804D18">
      <w:pPr>
        <w:rPr>
          <w:noProof/>
        </w:rPr>
      </w:pPr>
      <w:r>
        <w:rPr>
          <w:noProof/>
        </w:rPr>
        <w:t xml:space="preserve">Para poder formar parte de este exclusivo ranking mundial, Indra Group ha conseguido una calificación de 100 puntos en áreas clave como transparencia y reporting, ética empresarial, estrategia tributaria y gestión de riesgos. En el ámbito medioambiental, Indra Group ha logrado la puntuación máxima en eficiencia energética (100 puntos) y ha destacado por su estrategia climática, gracias a su compromiso con la descarbonización y a adelantar 10 años sus objetivos de reducción de emisiones para neutralizar las emisiones en sus operaciones propias en 2030 y en la cadena de valor en 2040. </w:t>
      </w:r>
    </w:p>
    <w:p w14:paraId="543872C2" w14:textId="77777777" w:rsidR="00804D18" w:rsidRDefault="00804D18" w:rsidP="00804D18">
      <w:pPr>
        <w:rPr>
          <w:noProof/>
        </w:rPr>
      </w:pPr>
      <w:r>
        <w:rPr>
          <w:noProof/>
        </w:rPr>
        <w:t>En el plano social, se ha situado en el percentil 100, al obtener la máxima puntuación en prácticas laborales y protección de la privacidad, y una excelente posición en las áreas de seguridad y salud laboral. También destaca su labor en la atracción y retención de talento.</w:t>
      </w:r>
    </w:p>
    <w:p w14:paraId="0BAC408D" w14:textId="77777777" w:rsidR="00804D18" w:rsidRDefault="00804D18" w:rsidP="00804D18">
      <w:pPr>
        <w:rPr>
          <w:noProof/>
        </w:rPr>
      </w:pPr>
      <w:r>
        <w:rPr>
          <w:noProof/>
        </w:rPr>
        <w:t>“En Indra Group somos conscientes de que para lograr un desarrollo sostenible es necesario frenar el cambio climático y proteger nuestro medioambiente, pero también mejorar la seguridad y el bienestar de los ciudadanos. Por ello, tenemos el firme compromiso de impulsar la innovación sostenible a través de nuestras soluciones, con el desarrollo de tecnologías que contribuyen a un mundo más seguro y respetuoso con el planeta”, afirma Manuel Ausaverri, Chief Strategy Officer (CSO) de Indra y máximo responsable del área de sostenibilidad del grupo.</w:t>
      </w:r>
    </w:p>
    <w:p w14:paraId="635D2BB9" w14:textId="77777777" w:rsidR="00804D18" w:rsidRDefault="00804D18" w:rsidP="00804D18">
      <w:pPr>
        <w:rPr>
          <w:noProof/>
        </w:rPr>
      </w:pPr>
      <w:r>
        <w:rPr>
          <w:noProof/>
        </w:rPr>
        <w:t>The Sustainability Yearbook basa su análisis en la información pública de las compañías evaluadas, pero también en la exhaustiva y prestigiosa Evaluación de Sostenibilidad Corporativa (CSA) de S&amp;P, que con más de 16.500 puntos de datos, se utiliza también para la elaboración del Dow Jones Sustainability Index (DJSI), en el que Indra se mantiene durante 19 años consecutivos. El DJSI exige una mínima capitalización bursátil, por lo que The Sustainability Yearbook abre la competencia a otras empresas de menor tamaño, de ahí el mayor universo de participación.</w:t>
      </w:r>
    </w:p>
    <w:p w14:paraId="611F010C" w14:textId="762E1359" w:rsidR="00804D18" w:rsidRDefault="00804D18" w:rsidP="00804D18">
      <w:r w:rsidRPr="00C05E85">
        <w:rPr>
          <w:b/>
          <w:bCs/>
        </w:rPr>
        <w:t>Reconocimientos en sostenibilidad</w:t>
      </w:r>
    </w:p>
    <w:p w14:paraId="06E27CAA" w14:textId="77777777" w:rsidR="00804D18" w:rsidRDefault="00804D18" w:rsidP="00804D18">
      <w:pPr>
        <w:rPr>
          <w:noProof/>
        </w:rPr>
      </w:pPr>
      <w:r>
        <w:rPr>
          <w:noProof/>
        </w:rPr>
        <w:t xml:space="preserve">Además de figurar en el DJSI, Indra Group forma parte del índice FTSE4Good desde hace años, tiene la clasificación AA en el índice MSCI-ESG que elabora Morgan Stanley y cuenta con la medalla platino de Ecovadis, la máxima calificación que otorga esta plataforma especializada en evaluar la sostenibilidad de las compañías, cada vez más tenida en cuenta por los clientes y que sitúa a Indra en el percentil 99, a la cabeza del resto de empresas de su sector. Por su parte, el índice Sustainalytics ha distinguido a Indra Group en la </w:t>
      </w:r>
      <w:r>
        <w:rPr>
          <w:noProof/>
        </w:rPr>
        <w:lastRenderedPageBreak/>
        <w:t xml:space="preserve">categoría Industry Top Rated como una de las empresas mejor calificadas en materia de ESG en el sector de Software y Servicios de TI. </w:t>
      </w:r>
    </w:p>
    <w:p w14:paraId="4301AFFB" w14:textId="77777777" w:rsidR="00804D18" w:rsidRDefault="00804D18" w:rsidP="00804D18">
      <w:pPr>
        <w:rPr>
          <w:noProof/>
        </w:rPr>
      </w:pPr>
      <w:r>
        <w:rPr>
          <w:noProof/>
        </w:rPr>
        <w:t>Indra Group también ha vuelto a ser incluido un año más por el Carbon Disclosure Project (CDP) entre las empresas líderes en la lucha contra el cambio climático con la máxima mayor calificación posible, “A List”, gracias a los múltiples esfuerzos de la compañía en esta materia y la contribución de soluciones con impacto en ámbitos como la movilidad sostenible, la eficiencia energética o la protección medioambiental. El grupo tecnológico también acaba de ser incluido en el ranking 'World's Best Companies in Sustainable Growth 2025', elaborado por la revista estadounidense Time y la empresa de investigación de mercados Statista, como unas de las mejores empresas del mundo en crecimiento sostenible.</w:t>
      </w:r>
    </w:p>
    <w:p w14:paraId="0D441606" w14:textId="77777777" w:rsidR="009957BE" w:rsidRDefault="009957BE" w:rsidP="00A03E7A">
      <w:pPr>
        <w:rPr>
          <w:b/>
          <w:bCs/>
          <w:sz w:val="18"/>
          <w:szCs w:val="22"/>
        </w:rPr>
      </w:pPr>
    </w:p>
    <w:p w14:paraId="263976D3" w14:textId="00210186" w:rsidR="00A03E7A" w:rsidRPr="00EC523A" w:rsidRDefault="00A03E7A" w:rsidP="00A03E7A">
      <w:pPr>
        <w:rPr>
          <w:b/>
          <w:bCs/>
          <w:sz w:val="18"/>
          <w:szCs w:val="22"/>
        </w:rPr>
      </w:pPr>
      <w:r w:rsidRPr="00EC523A">
        <w:rPr>
          <w:b/>
          <w:bCs/>
          <w:sz w:val="18"/>
          <w:szCs w:val="22"/>
        </w:rPr>
        <w:t>Acerca de Indra</w:t>
      </w:r>
      <w:r>
        <w:rPr>
          <w:b/>
          <w:bCs/>
          <w:sz w:val="18"/>
          <w:szCs w:val="22"/>
        </w:rPr>
        <w:t xml:space="preserve"> Group</w:t>
      </w:r>
    </w:p>
    <w:p w14:paraId="0590371A" w14:textId="77777777" w:rsidR="00A03E7A" w:rsidRDefault="00A03E7A" w:rsidP="00A03E7A">
      <w:pPr>
        <w:rPr>
          <w:noProof/>
          <w:sz w:val="18"/>
          <w:szCs w:val="22"/>
        </w:rPr>
      </w:pPr>
      <w:r w:rsidRPr="00EC523A">
        <w:rPr>
          <w:noProof/>
          <w:sz w:val="18"/>
          <w:szCs w:val="22"/>
        </w:rPr>
        <w:t>Indra</w:t>
      </w:r>
      <w:r>
        <w:rPr>
          <w:noProof/>
          <w:sz w:val="18"/>
          <w:szCs w:val="22"/>
        </w:rPr>
        <w:t xml:space="preserve"> Group</w:t>
      </w:r>
      <w:r w:rsidRPr="00EC523A">
        <w:rPr>
          <w:noProof/>
          <w:sz w:val="18"/>
          <w:szCs w:val="22"/>
        </w:rPr>
        <w:t xml:space="preserve"> (</w:t>
      </w:r>
      <w:hyperlink r:id="rId11" w:history="1">
        <w:r w:rsidRPr="005411A5">
          <w:rPr>
            <w:rStyle w:val="Hyperlink"/>
            <w:noProof/>
            <w:sz w:val="18"/>
            <w:szCs w:val="22"/>
          </w:rPr>
          <w:t>www.indracompany.com</w:t>
        </w:r>
      </w:hyperlink>
      <w:r w:rsidRPr="00EC523A">
        <w:rPr>
          <w:noProof/>
          <w:sz w:val="18"/>
          <w:szCs w:val="22"/>
        </w:rPr>
        <w:t xml:space="preserve">) </w:t>
      </w:r>
      <w:r w:rsidRPr="008E39E6">
        <w:rPr>
          <w:noProof/>
          <w:sz w:val="18"/>
          <w:szCs w:val="22"/>
        </w:rPr>
        <w:t>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2023, Indra Group tuvo unos ingresos de 4.343 millones de euros, más de 57.000 empleados, presencia local en 46 países y operaciones comerciales en más de 140 países.</w:t>
      </w:r>
    </w:p>
    <w:p w14:paraId="1B50CFBA" w14:textId="77777777" w:rsidR="009768EA" w:rsidRDefault="009768EA" w:rsidP="00A03E7A">
      <w:pPr>
        <w:rPr>
          <w:noProof/>
          <w:sz w:val="18"/>
          <w:szCs w:val="22"/>
        </w:rPr>
      </w:pPr>
    </w:p>
    <w:p w14:paraId="089E87A3" w14:textId="77777777" w:rsidR="00A03E7A" w:rsidRDefault="00A03E7A" w:rsidP="00A03E7A">
      <w:pPr>
        <w:rPr>
          <w:noProof/>
          <w:sz w:val="18"/>
          <w:szCs w:val="22"/>
        </w:rPr>
      </w:pPr>
    </w:p>
    <w:bookmarkEnd w:id="3"/>
    <w:p w14:paraId="4BC50DDB" w14:textId="451EA147" w:rsidR="00A03E7A" w:rsidRPr="00C439BD" w:rsidRDefault="00A03E7A" w:rsidP="00A03E7A">
      <w:pPr>
        <w:spacing w:before="0" w:after="0"/>
        <w:rPr>
          <w:noProof/>
          <w:color w:val="FFFFFF" w:themeColor="background1"/>
          <w:sz w:val="21"/>
        </w:rPr>
      </w:pPr>
    </w:p>
    <w:sectPr w:rsidR="00A03E7A" w:rsidRPr="00C439BD" w:rsidSect="008B3F3B">
      <w:headerReference w:type="default" r:id="rId12"/>
      <w:footerReference w:type="default" r:id="rId13"/>
      <w:headerReference w:type="first" r:id="rId14"/>
      <w:footerReference w:type="first" r:id="rId15"/>
      <w:pgSz w:w="11906" w:h="16838" w:code="9"/>
      <w:pgMar w:top="0" w:right="1133" w:bottom="709"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DD33" w14:textId="77777777" w:rsidR="00B16E23" w:rsidRDefault="00B16E23" w:rsidP="00544EF6">
      <w:pPr>
        <w:spacing w:before="0"/>
      </w:pPr>
      <w:r>
        <w:separator/>
      </w:r>
    </w:p>
  </w:endnote>
  <w:endnote w:type="continuationSeparator" w:id="0">
    <w:p w14:paraId="6B582745" w14:textId="77777777" w:rsidR="00B16E23" w:rsidRDefault="00B16E23" w:rsidP="00544EF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D44A"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3933"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CCD59" w14:textId="77777777" w:rsidR="00B16E23" w:rsidRDefault="00B16E23" w:rsidP="00544EF6">
      <w:pPr>
        <w:spacing w:before="0"/>
      </w:pPr>
      <w:r>
        <w:separator/>
      </w:r>
    </w:p>
  </w:footnote>
  <w:footnote w:type="continuationSeparator" w:id="0">
    <w:p w14:paraId="56794B39" w14:textId="77777777" w:rsidR="00B16E23" w:rsidRDefault="00B16E23" w:rsidP="00544EF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3212"/>
      <w:gridCol w:w="3214"/>
    </w:tblGrid>
    <w:tr w:rsidR="00A67B89" w14:paraId="56CC12FA" w14:textId="77777777" w:rsidTr="00A67B89">
      <w:trPr>
        <w:trHeight w:val="1"/>
      </w:trPr>
      <w:tc>
        <w:tcPr>
          <w:tcW w:w="1667" w:type="pct"/>
          <w:tcBorders>
            <w:top w:val="nil"/>
            <w:left w:val="nil"/>
            <w:bottom w:val="nil"/>
            <w:right w:val="nil"/>
          </w:tcBorders>
        </w:tcPr>
        <w:p w14:paraId="7AD8A277" w14:textId="77777777" w:rsidR="00A67B89" w:rsidRDefault="00A67B89" w:rsidP="00A67B89">
          <w:pPr>
            <w:spacing w:before="160"/>
          </w:pPr>
          <w:r>
            <w:rPr>
              <w:noProof/>
              <w:lang w:eastAsia="es-ES"/>
            </w:rPr>
            <w:drawing>
              <wp:inline distT="0" distB="0" distL="0" distR="0" wp14:anchorId="6C6A9484" wp14:editId="4FD06D36">
                <wp:extent cx="1352550" cy="293053"/>
                <wp:effectExtent l="0" t="0" r="0" b="0"/>
                <wp:docPr id="34555934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375962" cy="298126"/>
                        </a:xfrm>
                        <a:prstGeom prst="rect">
                          <a:avLst/>
                        </a:prstGeom>
                      </pic:spPr>
                    </pic:pic>
                  </a:graphicData>
                </a:graphic>
              </wp:inline>
            </w:drawing>
          </w:r>
        </w:p>
      </w:tc>
      <w:tc>
        <w:tcPr>
          <w:tcW w:w="1666" w:type="pct"/>
          <w:tcBorders>
            <w:top w:val="nil"/>
            <w:left w:val="nil"/>
            <w:bottom w:val="nil"/>
            <w:right w:val="nil"/>
          </w:tcBorders>
        </w:tcPr>
        <w:p w14:paraId="63DDAD68"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4A526A7D" w14:textId="77777777" w:rsidR="00A67B89" w:rsidRPr="00A67B89" w:rsidRDefault="00A67B89" w:rsidP="00A67B89">
          <w:pPr>
            <w:spacing w:before="160"/>
            <w:jc w:val="right"/>
            <w:rPr>
              <w:sz w:val="24"/>
              <w:szCs w:val="32"/>
            </w:rPr>
          </w:pPr>
          <w:r w:rsidRPr="00A67B89">
            <w:rPr>
              <w:sz w:val="24"/>
              <w:szCs w:val="32"/>
            </w:rPr>
            <w:t>Comunicado de prensa</w:t>
          </w:r>
        </w:p>
      </w:tc>
    </w:tr>
  </w:tbl>
  <w:p w14:paraId="6E00EB4A" w14:textId="77777777" w:rsidR="00A67B89" w:rsidRDefault="00A67B89">
    <w:pPr>
      <w:pStyle w:val="Header"/>
    </w:pPr>
    <w:r>
      <w:rPr>
        <w:noProof/>
        <w:lang w:eastAsia="es-ES"/>
      </w:rPr>
      <w:drawing>
        <wp:anchor distT="0" distB="0" distL="114300" distR="114300" simplePos="0" relativeHeight="251658240" behindDoc="1" locked="0" layoutInCell="1" allowOverlap="1" wp14:anchorId="09FA81C5" wp14:editId="6A510B2D">
          <wp:simplePos x="0" y="0"/>
          <wp:positionH relativeFrom="margin">
            <wp:align>center</wp:align>
          </wp:positionH>
          <wp:positionV relativeFrom="paragraph">
            <wp:posOffset>-557530</wp:posOffset>
          </wp:positionV>
          <wp:extent cx="6660000" cy="614770"/>
          <wp:effectExtent l="0" t="0" r="7620" b="0"/>
          <wp:wrapNone/>
          <wp:docPr id="5036182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3">
                    <a:extLst>
                      <a:ext uri="{96DAC541-7B7A-43D3-8B79-37D633B846F1}">
                        <asvg:svgBlip xmlns:asvg="http://schemas.microsoft.com/office/drawing/2016/SVG/main" r:embed="rId4"/>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B9597" w14:textId="77777777" w:rsidR="00FE4E37" w:rsidRDefault="00FE4E37" w:rsidP="00544EF6">
    <w:pPr>
      <w:pStyle w:val="Header"/>
    </w:pPr>
  </w:p>
  <w:p w14:paraId="254684B2"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004254"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55744BB"/>
    <w:multiLevelType w:val="hybridMultilevel"/>
    <w:tmpl w:val="A0D0C6D6"/>
    <w:lvl w:ilvl="0" w:tplc="ABC8B7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1471676839">
    <w:abstractNumId w:val="11"/>
  </w:num>
  <w:num w:numId="2" w16cid:durableId="1674532806">
    <w:abstractNumId w:val="8"/>
  </w:num>
  <w:num w:numId="3" w16cid:durableId="210651587">
    <w:abstractNumId w:val="3"/>
  </w:num>
  <w:num w:numId="4" w16cid:durableId="809589044">
    <w:abstractNumId w:val="2"/>
  </w:num>
  <w:num w:numId="5" w16cid:durableId="564682614">
    <w:abstractNumId w:val="1"/>
  </w:num>
  <w:num w:numId="6" w16cid:durableId="743644434">
    <w:abstractNumId w:val="0"/>
  </w:num>
  <w:num w:numId="7" w16cid:durableId="829128681">
    <w:abstractNumId w:val="9"/>
  </w:num>
  <w:num w:numId="8" w16cid:durableId="1579560148">
    <w:abstractNumId w:val="7"/>
  </w:num>
  <w:num w:numId="9" w16cid:durableId="1041202514">
    <w:abstractNumId w:val="6"/>
  </w:num>
  <w:num w:numId="10" w16cid:durableId="1086654444">
    <w:abstractNumId w:val="5"/>
  </w:num>
  <w:num w:numId="11" w16cid:durableId="1165823246">
    <w:abstractNumId w:val="4"/>
  </w:num>
  <w:num w:numId="12" w16cid:durableId="1407149667">
    <w:abstractNumId w:val="10"/>
  </w:num>
  <w:num w:numId="13" w16cid:durableId="1485774233">
    <w:abstractNumId w:val="15"/>
  </w:num>
  <w:num w:numId="14" w16cid:durableId="1622492475">
    <w:abstractNumId w:val="14"/>
  </w:num>
  <w:num w:numId="15" w16cid:durableId="1633824111">
    <w:abstractNumId w:val="12"/>
  </w:num>
  <w:num w:numId="16" w16cid:durableId="1079641665">
    <w:abstractNumId w:val="9"/>
  </w:num>
  <w:num w:numId="17" w16cid:durableId="12258754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7A"/>
    <w:rsid w:val="00016320"/>
    <w:rsid w:val="0004788B"/>
    <w:rsid w:val="00084BD7"/>
    <w:rsid w:val="00093426"/>
    <w:rsid w:val="00094BC7"/>
    <w:rsid w:val="00096736"/>
    <w:rsid w:val="000A71E8"/>
    <w:rsid w:val="000C1837"/>
    <w:rsid w:val="000C269B"/>
    <w:rsid w:val="000E6A5C"/>
    <w:rsid w:val="000F3350"/>
    <w:rsid w:val="00101F30"/>
    <w:rsid w:val="00102584"/>
    <w:rsid w:val="00104BF9"/>
    <w:rsid w:val="00105B51"/>
    <w:rsid w:val="001124D5"/>
    <w:rsid w:val="001233F0"/>
    <w:rsid w:val="001347A8"/>
    <w:rsid w:val="00145829"/>
    <w:rsid w:val="00161F8E"/>
    <w:rsid w:val="0016284F"/>
    <w:rsid w:val="00165FED"/>
    <w:rsid w:val="0017039A"/>
    <w:rsid w:val="001726F0"/>
    <w:rsid w:val="0017565F"/>
    <w:rsid w:val="0018106B"/>
    <w:rsid w:val="00197609"/>
    <w:rsid w:val="001E5D77"/>
    <w:rsid w:val="00216335"/>
    <w:rsid w:val="00254534"/>
    <w:rsid w:val="0027215B"/>
    <w:rsid w:val="0029198F"/>
    <w:rsid w:val="00293707"/>
    <w:rsid w:val="002A6AB4"/>
    <w:rsid w:val="002A6CE6"/>
    <w:rsid w:val="002B017E"/>
    <w:rsid w:val="002C70BA"/>
    <w:rsid w:val="002C7F8F"/>
    <w:rsid w:val="002D42C1"/>
    <w:rsid w:val="002D6BA6"/>
    <w:rsid w:val="002F6F81"/>
    <w:rsid w:val="00305BB8"/>
    <w:rsid w:val="00311266"/>
    <w:rsid w:val="003127CB"/>
    <w:rsid w:val="00326281"/>
    <w:rsid w:val="00340E3A"/>
    <w:rsid w:val="00351EA9"/>
    <w:rsid w:val="00357288"/>
    <w:rsid w:val="00360597"/>
    <w:rsid w:val="003607B4"/>
    <w:rsid w:val="003644ED"/>
    <w:rsid w:val="003733F4"/>
    <w:rsid w:val="0039319D"/>
    <w:rsid w:val="0039747B"/>
    <w:rsid w:val="003A244E"/>
    <w:rsid w:val="003A7CD1"/>
    <w:rsid w:val="003B178D"/>
    <w:rsid w:val="003C5EE6"/>
    <w:rsid w:val="003D189A"/>
    <w:rsid w:val="003D4A04"/>
    <w:rsid w:val="003E0E71"/>
    <w:rsid w:val="003E4570"/>
    <w:rsid w:val="003F5627"/>
    <w:rsid w:val="003F7D3B"/>
    <w:rsid w:val="00424FDE"/>
    <w:rsid w:val="00431B11"/>
    <w:rsid w:val="00444647"/>
    <w:rsid w:val="00454A68"/>
    <w:rsid w:val="0046704A"/>
    <w:rsid w:val="00467E14"/>
    <w:rsid w:val="00482A19"/>
    <w:rsid w:val="00483739"/>
    <w:rsid w:val="00486F30"/>
    <w:rsid w:val="004A2612"/>
    <w:rsid w:val="004C6493"/>
    <w:rsid w:val="00503E7A"/>
    <w:rsid w:val="00516ACD"/>
    <w:rsid w:val="00522C71"/>
    <w:rsid w:val="00541C5A"/>
    <w:rsid w:val="005420D8"/>
    <w:rsid w:val="00544EF6"/>
    <w:rsid w:val="0054527E"/>
    <w:rsid w:val="00545A62"/>
    <w:rsid w:val="005479A5"/>
    <w:rsid w:val="00596CFF"/>
    <w:rsid w:val="00596DBB"/>
    <w:rsid w:val="005A145C"/>
    <w:rsid w:val="005B5872"/>
    <w:rsid w:val="005C59B7"/>
    <w:rsid w:val="005D2FDC"/>
    <w:rsid w:val="005E1F64"/>
    <w:rsid w:val="005E42CC"/>
    <w:rsid w:val="005E6D47"/>
    <w:rsid w:val="005F40E1"/>
    <w:rsid w:val="00610DF2"/>
    <w:rsid w:val="0062397A"/>
    <w:rsid w:val="00624185"/>
    <w:rsid w:val="006436A4"/>
    <w:rsid w:val="006530C3"/>
    <w:rsid w:val="0065419B"/>
    <w:rsid w:val="00665B3F"/>
    <w:rsid w:val="00680ECA"/>
    <w:rsid w:val="00681C63"/>
    <w:rsid w:val="00683D86"/>
    <w:rsid w:val="00690659"/>
    <w:rsid w:val="006A2751"/>
    <w:rsid w:val="006B45C9"/>
    <w:rsid w:val="006C17DB"/>
    <w:rsid w:val="006C18A6"/>
    <w:rsid w:val="006E3B11"/>
    <w:rsid w:val="006E4122"/>
    <w:rsid w:val="006E50B5"/>
    <w:rsid w:val="006E70C0"/>
    <w:rsid w:val="0070283F"/>
    <w:rsid w:val="007078FC"/>
    <w:rsid w:val="00710D75"/>
    <w:rsid w:val="007112E9"/>
    <w:rsid w:val="0073060D"/>
    <w:rsid w:val="007318F5"/>
    <w:rsid w:val="007371BB"/>
    <w:rsid w:val="007561D3"/>
    <w:rsid w:val="00776BE4"/>
    <w:rsid w:val="00780B3D"/>
    <w:rsid w:val="007A4873"/>
    <w:rsid w:val="007B649D"/>
    <w:rsid w:val="007D088C"/>
    <w:rsid w:val="007F464D"/>
    <w:rsid w:val="007F681A"/>
    <w:rsid w:val="00804D18"/>
    <w:rsid w:val="00810E5F"/>
    <w:rsid w:val="008129EE"/>
    <w:rsid w:val="0082002F"/>
    <w:rsid w:val="00824526"/>
    <w:rsid w:val="00824AC8"/>
    <w:rsid w:val="00866A62"/>
    <w:rsid w:val="00875414"/>
    <w:rsid w:val="00883344"/>
    <w:rsid w:val="008B3F3B"/>
    <w:rsid w:val="008B74BB"/>
    <w:rsid w:val="008C5FB9"/>
    <w:rsid w:val="008D1944"/>
    <w:rsid w:val="008E7D58"/>
    <w:rsid w:val="008F552F"/>
    <w:rsid w:val="00920418"/>
    <w:rsid w:val="00927ED6"/>
    <w:rsid w:val="00932412"/>
    <w:rsid w:val="00936C3C"/>
    <w:rsid w:val="00936D58"/>
    <w:rsid w:val="00945092"/>
    <w:rsid w:val="00945A24"/>
    <w:rsid w:val="009521F1"/>
    <w:rsid w:val="009768EA"/>
    <w:rsid w:val="0097701D"/>
    <w:rsid w:val="009957BE"/>
    <w:rsid w:val="009A2634"/>
    <w:rsid w:val="009A32D3"/>
    <w:rsid w:val="009A5AD4"/>
    <w:rsid w:val="009A7964"/>
    <w:rsid w:val="009C2582"/>
    <w:rsid w:val="009C6AEE"/>
    <w:rsid w:val="009D0287"/>
    <w:rsid w:val="009E030A"/>
    <w:rsid w:val="009E7281"/>
    <w:rsid w:val="009F4551"/>
    <w:rsid w:val="009F57FE"/>
    <w:rsid w:val="00A0068F"/>
    <w:rsid w:val="00A03E7A"/>
    <w:rsid w:val="00A12BB7"/>
    <w:rsid w:val="00A12EF2"/>
    <w:rsid w:val="00A43F60"/>
    <w:rsid w:val="00A64014"/>
    <w:rsid w:val="00A67B89"/>
    <w:rsid w:val="00A74084"/>
    <w:rsid w:val="00A831F5"/>
    <w:rsid w:val="00A923EB"/>
    <w:rsid w:val="00A96CC4"/>
    <w:rsid w:val="00AA545B"/>
    <w:rsid w:val="00AB0604"/>
    <w:rsid w:val="00AC4B71"/>
    <w:rsid w:val="00AE058B"/>
    <w:rsid w:val="00AE370D"/>
    <w:rsid w:val="00B10022"/>
    <w:rsid w:val="00B10BC4"/>
    <w:rsid w:val="00B11F02"/>
    <w:rsid w:val="00B16E23"/>
    <w:rsid w:val="00B2014D"/>
    <w:rsid w:val="00B23F0C"/>
    <w:rsid w:val="00B57EC3"/>
    <w:rsid w:val="00B60ACA"/>
    <w:rsid w:val="00B61DAC"/>
    <w:rsid w:val="00B67380"/>
    <w:rsid w:val="00B70311"/>
    <w:rsid w:val="00B70F9C"/>
    <w:rsid w:val="00BA5D81"/>
    <w:rsid w:val="00BA5FF2"/>
    <w:rsid w:val="00BA728C"/>
    <w:rsid w:val="00BE73E2"/>
    <w:rsid w:val="00BF0EF2"/>
    <w:rsid w:val="00BF2365"/>
    <w:rsid w:val="00C110DD"/>
    <w:rsid w:val="00C12508"/>
    <w:rsid w:val="00C12D30"/>
    <w:rsid w:val="00C33262"/>
    <w:rsid w:val="00C40254"/>
    <w:rsid w:val="00C47B2C"/>
    <w:rsid w:val="00C47B57"/>
    <w:rsid w:val="00C50B64"/>
    <w:rsid w:val="00C675E3"/>
    <w:rsid w:val="00C742E3"/>
    <w:rsid w:val="00C75524"/>
    <w:rsid w:val="00C93CC7"/>
    <w:rsid w:val="00C972F8"/>
    <w:rsid w:val="00CA6A64"/>
    <w:rsid w:val="00CB3F82"/>
    <w:rsid w:val="00CB6753"/>
    <w:rsid w:val="00CC4FEE"/>
    <w:rsid w:val="00CD0B64"/>
    <w:rsid w:val="00CD227E"/>
    <w:rsid w:val="00CD572F"/>
    <w:rsid w:val="00D00BB7"/>
    <w:rsid w:val="00D03565"/>
    <w:rsid w:val="00D271E1"/>
    <w:rsid w:val="00D311DF"/>
    <w:rsid w:val="00D416FC"/>
    <w:rsid w:val="00D4235F"/>
    <w:rsid w:val="00D45EC2"/>
    <w:rsid w:val="00D63B88"/>
    <w:rsid w:val="00D749C8"/>
    <w:rsid w:val="00D94007"/>
    <w:rsid w:val="00D957AD"/>
    <w:rsid w:val="00DC09BB"/>
    <w:rsid w:val="00DC3B14"/>
    <w:rsid w:val="00DE24AC"/>
    <w:rsid w:val="00DE75D7"/>
    <w:rsid w:val="00DF3827"/>
    <w:rsid w:val="00DF58B6"/>
    <w:rsid w:val="00E07C92"/>
    <w:rsid w:val="00E1708C"/>
    <w:rsid w:val="00E17A04"/>
    <w:rsid w:val="00E34143"/>
    <w:rsid w:val="00E35727"/>
    <w:rsid w:val="00E66EA9"/>
    <w:rsid w:val="00E75100"/>
    <w:rsid w:val="00E77D9C"/>
    <w:rsid w:val="00E94D71"/>
    <w:rsid w:val="00EA2F0C"/>
    <w:rsid w:val="00EC523A"/>
    <w:rsid w:val="00EF1A36"/>
    <w:rsid w:val="00F01B8F"/>
    <w:rsid w:val="00F1055C"/>
    <w:rsid w:val="00F10661"/>
    <w:rsid w:val="00F31127"/>
    <w:rsid w:val="00F36DC6"/>
    <w:rsid w:val="00F4652A"/>
    <w:rsid w:val="00F67D45"/>
    <w:rsid w:val="00F9049A"/>
    <w:rsid w:val="00F94B5A"/>
    <w:rsid w:val="00F95DA5"/>
    <w:rsid w:val="00F9639A"/>
    <w:rsid w:val="00FA3670"/>
    <w:rsid w:val="00FB0EC9"/>
    <w:rsid w:val="00FB144D"/>
    <w:rsid w:val="00FB7904"/>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8005D"/>
  <w15:docId w15:val="{390892FE-AF44-4876-B447-1FDDDF4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004254"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0095B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0095B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004254"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004254"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004254"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004254"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004254"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004254"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004254" w:themeColor="text1"/>
      <w:sz w:val="20"/>
      <w:szCs w:val="20"/>
      <w:lang w:eastAsia="zh-CN"/>
    </w:rPr>
    <w:tblPr>
      <w:tblBorders>
        <w:top w:val="single" w:sz="4" w:space="0" w:color="004254" w:themeColor="text1"/>
        <w:left w:val="single" w:sz="4" w:space="0" w:color="004254" w:themeColor="text1"/>
        <w:bottom w:val="single" w:sz="4" w:space="0" w:color="004254" w:themeColor="text1"/>
        <w:right w:val="single" w:sz="4" w:space="0" w:color="004254" w:themeColor="text1"/>
        <w:insideH w:val="single" w:sz="4" w:space="0" w:color="004254" w:themeColor="text1"/>
        <w:insideV w:val="single" w:sz="4" w:space="0" w:color="004254"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00B0BD"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004254"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0095B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0095B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00B0BD" w:themeColor="accent1"/>
        <w:left w:val="single" w:sz="8" w:space="0" w:color="00B0BD" w:themeColor="accent1"/>
        <w:bottom w:val="single" w:sz="8" w:space="0" w:color="00B0BD" w:themeColor="accent1"/>
        <w:right w:val="single" w:sz="8" w:space="0" w:color="00B0BD" w:themeColor="accent1"/>
      </w:tblBorders>
    </w:tblPr>
    <w:tblStylePr w:type="firstRow">
      <w:pPr>
        <w:spacing w:before="0" w:after="0" w:line="240" w:lineRule="auto"/>
      </w:pPr>
      <w:rPr>
        <w:b/>
        <w:bCs/>
        <w:color w:val="FFFFFF" w:themeColor="background1"/>
      </w:rPr>
      <w:tblPr/>
      <w:tcPr>
        <w:shd w:val="clear" w:color="auto" w:fill="00B0BD" w:themeFill="accent1"/>
      </w:tcPr>
    </w:tblStylePr>
    <w:tblStylePr w:type="lastRow">
      <w:pPr>
        <w:spacing w:before="0" w:after="0" w:line="240" w:lineRule="auto"/>
      </w:pPr>
      <w:rPr>
        <w:b/>
        <w:bCs/>
      </w:rPr>
      <w:tblPr/>
      <w:tcPr>
        <w:tcBorders>
          <w:top w:val="double" w:sz="6" w:space="0" w:color="00B0BD" w:themeColor="accent1"/>
          <w:left w:val="single" w:sz="8" w:space="0" w:color="00B0BD" w:themeColor="accent1"/>
          <w:bottom w:val="single" w:sz="8" w:space="0" w:color="00B0BD" w:themeColor="accent1"/>
          <w:right w:val="single" w:sz="8" w:space="0" w:color="00B0BD" w:themeColor="accent1"/>
        </w:tcBorders>
      </w:tcPr>
    </w:tblStylePr>
    <w:tblStylePr w:type="firstCol">
      <w:rPr>
        <w:b/>
        <w:bCs/>
      </w:rPr>
    </w:tblStylePr>
    <w:tblStylePr w:type="lastCol">
      <w:rPr>
        <w:b/>
        <w:bCs/>
      </w:rPr>
    </w:tblStylePr>
    <w:tblStylePr w:type="band1Vert">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tblStylePr w:type="band1Horz">
      <w:tblPr/>
      <w:tcPr>
        <w:tcBorders>
          <w:top w:val="single" w:sz="8" w:space="0" w:color="00B0BD" w:themeColor="accent1"/>
          <w:left w:val="single" w:sz="8" w:space="0" w:color="00B0BD" w:themeColor="accent1"/>
          <w:bottom w:val="single" w:sz="8" w:space="0" w:color="00B0BD" w:themeColor="accent1"/>
          <w:right w:val="single" w:sz="8" w:space="0" w:color="00B0BD"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00759A"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A03E7A"/>
    <w:pPr>
      <w:spacing w:before="0" w:after="0"/>
      <w:ind w:right="55"/>
    </w:pPr>
    <w:rPr>
      <w:rFonts w:ascii="Arial" w:hAnsi="Arial"/>
      <w:b/>
      <w:kern w:val="0"/>
      <w:sz w:val="28"/>
      <w:szCs w:val="28"/>
      <w:lang w:eastAsia="es-ES"/>
    </w:rPr>
  </w:style>
  <w:style w:type="character" w:customStyle="1" w:styleId="HeaderCar">
    <w:name w:val="Header Car"/>
    <w:basedOn w:val="DefaultParagraphFont"/>
    <w:link w:val="Encabezado1"/>
    <w:rsid w:val="00A03E7A"/>
    <w:rPr>
      <w:rFonts w:ascii="Arial" w:eastAsia="Times New Roman" w:hAnsi="Arial" w:cs="Times New Roman"/>
      <w:b/>
      <w:color w:val="004254" w:themeColor="text1"/>
      <w:sz w:val="28"/>
      <w:szCs w:val="28"/>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004254"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004254" w:themeColor="text1"/>
      <w:sz w:val="26"/>
      <w:szCs w:val="26"/>
      <w:lang w:eastAsia="es-ES"/>
    </w:rPr>
  </w:style>
  <w:style w:type="paragraph" w:styleId="Subtitle">
    <w:name w:val="Subtitle"/>
    <w:basedOn w:val="ListParagraph"/>
    <w:next w:val="Normal"/>
    <w:link w:val="SubtitleChar"/>
    <w:uiPriority w:val="11"/>
    <w:qFormat/>
    <w:rsid w:val="00804D18"/>
    <w:pPr>
      <w:spacing w:before="0" w:after="0"/>
      <w:ind w:left="0" w:right="55"/>
    </w:pPr>
    <w:rPr>
      <w:rFonts w:ascii="Arial" w:hAnsi="Arial"/>
      <w:b/>
      <w:kern w:val="0"/>
      <w:lang w:eastAsia="es-ES"/>
    </w:rPr>
  </w:style>
  <w:style w:type="character" w:customStyle="1" w:styleId="SubtitleChar">
    <w:name w:val="Subtitle Char"/>
    <w:basedOn w:val="DefaultParagraphFont"/>
    <w:link w:val="Subtitle"/>
    <w:uiPriority w:val="11"/>
    <w:rsid w:val="00804D18"/>
    <w:rPr>
      <w:rFonts w:ascii="Arial" w:eastAsia="Times New Roman" w:hAnsi="Arial" w:cs="Times New Roman"/>
      <w:b/>
      <w:color w:val="004254" w:themeColor="text1"/>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42318827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dracompan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hiques\Downloads\INDRAgroup_NP_ES_V2.dotx" TargetMode="External"/></Relationships>
</file>

<file path=word/theme/theme1.xml><?xml version="1.0" encoding="utf-8"?>
<a:theme xmlns:a="http://schemas.openxmlformats.org/drawingml/2006/main" name="Tema de Office">
  <a:themeElements>
    <a:clrScheme name="Indra_new">
      <a:dk1>
        <a:srgbClr val="004254"/>
      </a:dk1>
      <a:lt1>
        <a:srgbClr val="FFFFFF"/>
      </a:lt1>
      <a:dk2>
        <a:srgbClr val="001923"/>
      </a:dk2>
      <a:lt2>
        <a:srgbClr val="E3E2DA"/>
      </a:lt2>
      <a:accent1>
        <a:srgbClr val="00B0BD"/>
      </a:accent1>
      <a:accent2>
        <a:srgbClr val="44B757"/>
      </a:accent2>
      <a:accent3>
        <a:srgbClr val="8661F5"/>
      </a:accent3>
      <a:accent4>
        <a:srgbClr val="E56813"/>
      </a:accent4>
      <a:accent5>
        <a:srgbClr val="D2044A"/>
      </a:accent5>
      <a:accent6>
        <a:srgbClr val="72D3D3"/>
      </a:accent6>
      <a:hlink>
        <a:srgbClr val="00B0BD"/>
      </a:hlink>
      <a:folHlink>
        <a:srgbClr val="00759A"/>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4781C91D4D740AABD766EC2D6BE68" ma:contentTypeVersion="16" ma:contentTypeDescription="Crear nuevo documento." ma:contentTypeScope="" ma:versionID="26636fad4ade7adbe4d56dd2a6a0c1e4">
  <xsd:schema xmlns:xsd="http://www.w3.org/2001/XMLSchema" xmlns:xs="http://www.w3.org/2001/XMLSchema" xmlns:p="http://schemas.microsoft.com/office/2006/metadata/properties" xmlns:ns3="0f196808-5ecd-41f9-95f6-63852430ea68" xmlns:ns4="004fc8b5-47d5-4f2b-bf73-f4480577fb0a" targetNamespace="http://schemas.microsoft.com/office/2006/metadata/properties" ma:root="true" ma:fieldsID="c6c8e8c502e521a320edf04df01ff3ab" ns3:_="" ns4:_="">
    <xsd:import namespace="0f196808-5ecd-41f9-95f6-63852430ea68"/>
    <xsd:import namespace="004fc8b5-47d5-4f2b-bf73-f4480577fb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96808-5ecd-41f9-95f6-63852430e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fc8b5-47d5-4f2b-bf73-f4480577fb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0f196808-5ecd-41f9-95f6-63852430e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5FAA5-9683-47AC-A3E6-FC6BF11B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96808-5ecd-41f9-95f6-63852430ea68"/>
    <ds:schemaRef ds:uri="004fc8b5-47d5-4f2b-bf73-f4480577f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9F89-7840-492E-AE3F-AC2D8C261EC8}">
  <ds:schemaRefs>
    <ds:schemaRef ds:uri="http://schemas.openxmlformats.org/officeDocument/2006/bibliography"/>
  </ds:schemaRefs>
</ds:datastoreItem>
</file>

<file path=customXml/itemProps3.xml><?xml version="1.0" encoding="utf-8"?>
<ds:datastoreItem xmlns:ds="http://schemas.openxmlformats.org/officeDocument/2006/customXml" ds:itemID="{C0E67E65-4300-4D01-9C17-4736CDA40A0B}">
  <ds:schemaRefs>
    <ds:schemaRef ds:uri="http://schemas.microsoft.com/office/2006/metadata/properties"/>
    <ds:schemaRef ds:uri="http://schemas.microsoft.com/office/infopath/2007/PartnerControls"/>
    <ds:schemaRef ds:uri="0f196808-5ecd-41f9-95f6-63852430ea68"/>
  </ds:schemaRefs>
</ds:datastoreItem>
</file>

<file path=customXml/itemProps4.xml><?xml version="1.0" encoding="utf-8"?>
<ds:datastoreItem xmlns:ds="http://schemas.openxmlformats.org/officeDocument/2006/customXml" ds:itemID="{BFD1E940-AF1D-49D1-8D32-5FA79926B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C:\Users\lmahiques\Downloads\INDRAgroup_NP_ES_V2.dotx</Template>
  <TotalTime>1</TotalTime>
  <Pages>2</Pages>
  <Words>886</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Mahiques Ramos, Lydia</dc:creator>
  <cp:lastModifiedBy>Gaby Medina</cp:lastModifiedBy>
  <cp:revision>2</cp:revision>
  <cp:lastPrinted>2018-09-06T10:10:00Z</cp:lastPrinted>
  <dcterms:created xsi:type="dcterms:W3CDTF">2025-02-18T20:01:00Z</dcterms:created>
  <dcterms:modified xsi:type="dcterms:W3CDTF">2025-02-18T20:01:00Z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0x010100DD24781C91D4D740AABD766EC2D6BE68</vt:lpwstr>
  </property>
</Properties>
</file>